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Education Welfare Officer: Challenge, Support &amp; Legal Literacy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2 hours • Education welfare officers and attendance enforcement practitioners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Use legal powers within a support-first framework.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Evaluate evidence before escalation.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Work effectively across school, family and local authority systems.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 &amp; diagnostic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purpose; ask what currently gets in the way.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priority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slides and challenge assumptions.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 / questions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Applied activity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the role-specific scenario.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Agreed 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Tool 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Complete the editable worksheet/action prompts.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Draft tool or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 &amp; 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 next steps and review point.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Personal/team 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Support-before-escalation test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Check whether barriers and reasonable support have been sufficiently explored.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Evidence quality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Review what would make a case defensible and fair.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Multi-agency leverage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Map where health, social care, SEND or safeguarding input changes the plan.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school requests prosecution for a pupil with 61% attendance. The file shows poor engagement but also possible anxiety and SEND needs that have not been fully assessed. What evidence and actions are needed before deciding next steps?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Clarify your escalation criteria.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Use a consistent evidence checklist.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Build a feedback loop with schools about case quality.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