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widowControl/>
        <w:jc w:val="center"/>
      </w:pPr>
      <w:r>
        <w:rPr>
          <w:rFonts w:ascii="Arial" w:hAnsi="Arial" w:eastAsia="Arial" w:cs="Arial"/>
        </w:rPr>
        <w:t>Data Manager: Attendance Intelligence that Drives Action</w:t>
      </w:r>
    </w:p>
    <w:p>
      <w:pPr>
        <w:widowControl/>
        <w:spacing w:before="0" w:after="40" w:line="240" w:lineRule="auto"/>
        <w:jc w:val="center"/>
      </w:pPr>
      <w:r>
        <w:rPr>
          <w:rFonts w:ascii="Arial" w:hAnsi="Arial" w:eastAsia="Arial" w:cs="Arial"/>
          <w:i/>
          <w:color w:val="59636E"/>
        </w:rPr>
        <w:t>90 minutes • Data managers, MIS leads and analysts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rPr>
          <w:cantSplit/>
        </w:trPr>
        <w:tc>
          <w:tcPr>
            <w:tcW w:type="dxa" w:w="3456"/>
            <w:shd w:fill="F7F2FB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5C3B7D"/>
                <w:sz w:val="16"/>
              </w:rPr>
              <w:t>EDITABLE WORD</w:t>
            </w:r>
          </w:p>
        </w:tc>
        <w:tc>
          <w:tcPr>
            <w:tcW w:type="dxa" w:w="3456"/>
            <w:shd w:fill="EEF9F7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087F85"/>
                <w:sz w:val="16"/>
              </w:rPr>
              <w:t>FACILITATOR READY</w:t>
            </w:r>
          </w:p>
        </w:tc>
        <w:tc>
          <w:tcPr>
            <w:tcW w:type="dxa" w:w="3456"/>
            <w:shd w:fill="FFF8E5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876500"/>
                <w:sz w:val="16"/>
              </w:rPr>
              <w:t>COMPANION TO PPTX</w:t>
            </w:r>
          </w:p>
        </w:tc>
      </w:tr>
    </w:tbl>
    <w:p>
      <w:pPr>
        <w:widowControl/>
        <w:spacing w:before="0" w:after="0" w:line="240" w:lineRule="auto"/>
      </w:pP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Facilitator overview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  <w:b/>
        </w:rPr>
        <w:t xml:space="preserve">Purpose: </w:t>
      </w:r>
      <w:r>
        <w:rPr>
          <w:rFonts w:ascii="Arial" w:hAnsi="Arial" w:eastAsia="Arial" w:cs="Arial"/>
        </w:rPr>
        <w:t>Use this guide alongside the editable PowerPoint. Adapt timings, examples and terminology to your setting. All content can be edited, rebranded or shortened.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Learning outcomes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Improve attendance data quality and interpretation.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Build useful cohort and trend analysis.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Turn dashboards into leadership questions and action.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Suggested running order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rPr>
          <w:cantSplit/>
        </w:trPr>
        <w:tc>
          <w:tcPr>
            <w:tcW w:type="dxa" w:w="2592"/>
            <w:shd w:fill="5C3B7D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Stage</w:t>
            </w:r>
          </w:p>
        </w:tc>
        <w:tc>
          <w:tcPr>
            <w:tcW w:type="dxa" w:w="2592"/>
            <w:shd w:fill="5C3B7D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Minutes</w:t>
            </w:r>
          </w:p>
        </w:tc>
        <w:tc>
          <w:tcPr>
            <w:tcW w:type="dxa" w:w="2592"/>
            <w:shd w:fill="5C3B7D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Facilitator move</w:t>
            </w:r>
          </w:p>
        </w:tc>
        <w:tc>
          <w:tcPr>
            <w:tcW w:type="dxa" w:w="2592"/>
            <w:shd w:fill="5C3B7D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Participant output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Welcome &amp; diagnostic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10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Set purpose; ask what currently gets in the way.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One priority question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Core learning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25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Work through slides and challenge assumptions.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Notes / questions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Applied activity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20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Use the role-specific scenario.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Agreed response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Tool practice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20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Complete the editable worksheet/action prompts.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Draft tool or action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Commitment &amp; close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15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Agree next steps and review point.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Personal/team commitment</w:t>
            </w:r>
          </w:p>
        </w:tc>
      </w:tr>
    </w:tbl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Key activities</w:t>
      </w:r>
    </w:p>
    <w:p>
      <w:pPr>
        <w:pStyle w:val="Heading2"/>
        <w:keepNext/>
        <w:keepLines/>
        <w:widowControl/>
      </w:pPr>
      <w:r>
        <w:rPr>
          <w:rFonts w:ascii="Arial" w:hAnsi="Arial" w:eastAsia="Arial" w:cs="Arial"/>
        </w:rPr>
        <w:t>Data quality challenge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Find denominator, coding and missing-mark risks.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Facilitator notes: _________________________________________________________________</w:t>
      </w:r>
    </w:p>
    <w:p>
      <w:pPr>
        <w:pStyle w:val="Heading2"/>
        <w:keepNext/>
        <w:keepLines/>
        <w:widowControl/>
      </w:pPr>
      <w:r>
        <w:rPr>
          <w:rFonts w:ascii="Arial" w:hAnsi="Arial" w:eastAsia="Arial" w:cs="Arial"/>
        </w:rPr>
        <w:t>Cohort drill-down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Move from whole-setting rate to actionable groups and pupils.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Facilitator notes: _________________________________________________________________</w:t>
      </w:r>
    </w:p>
    <w:p>
      <w:pPr>
        <w:pStyle w:val="Heading2"/>
        <w:keepNext/>
        <w:keepLines/>
        <w:widowControl/>
      </w:pPr>
      <w:r>
        <w:rPr>
          <w:rFonts w:ascii="Arial" w:hAnsi="Arial" w:eastAsia="Arial" w:cs="Arial"/>
        </w:rPr>
        <w:t>Question-first dashboard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Design outputs around decisions leaders need to make.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Facilitator notes: 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Scenario for discussion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A trust dashboard shows one school at 92.1% and another at 94.0%. Leaders immediately label the first school “worse”. What additional analysis is needed before drawing conclusions?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What would you do first? 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What evidence would you need? 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Who else needs to be involved? 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Action planning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Define your core attendance data quality checks.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Agree the five metrics leaders actually need weekly.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Add cohort/context drill-down before ranking settings.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rPr>
          <w:cantSplit/>
        </w:trPr>
        <w:tc>
          <w:tcPr>
            <w:tcW w:type="dxa" w:w="2592"/>
            <w:shd w:fill="087F85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Action</w:t>
            </w:r>
          </w:p>
        </w:tc>
        <w:tc>
          <w:tcPr>
            <w:tcW w:type="dxa" w:w="2592"/>
            <w:shd w:fill="087F85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Owner</w:t>
            </w:r>
          </w:p>
        </w:tc>
        <w:tc>
          <w:tcPr>
            <w:tcW w:type="dxa" w:w="2592"/>
            <w:shd w:fill="087F85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By when</w:t>
            </w:r>
          </w:p>
        </w:tc>
        <w:tc>
          <w:tcPr>
            <w:tcW w:type="dxa" w:w="2592"/>
            <w:shd w:fill="087F85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Evidence of impact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</w:tbl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Reference prompts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For school-age provision, check the current DfE Working together to improve school attendance statutory guidance and current safeguarding guidance. For 16–19/FE, use current study-programme and funding guidance alongside your provider policies and inspection materials.</w:t>
      </w:r>
    </w:p>
    <w:sectPr w:rsidR="00FC693F" w:rsidRPr="0006063C" w:rsidSect="00034616">
      <w:footerReference w:type="default" r:id="rId9"/>
      <w:headerReference w:type="default" r:id="rId10"/>
      <w:pgSz w:w="12240" w:h="15840"/>
      <w:pgMar w:top="835" w:right="893" w:bottom="749" w:left="893" w:header="259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 w:eastAsia="Arial" w:cs="Arial"/>
        <w:color w:val="6A7280"/>
        <w:sz w:val="14"/>
      </w:rPr>
      <w:t>National Attendance Portal • Ultra Premium • Fully editable member resource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5040"/>
      <w:gridCol w:w="5040"/>
    </w:tblGrid>
    <w:tr>
      <w:tc>
        <w:tcPr>
          <w:tcW w:type="dxa" w:w="893"/>
          <w:shd w:fill="5C3B7D"/>
          <w:tcMar>
            <w:top w:w="25" w:type="dxa"/>
            <w:start w:w="55" w:type="dxa"/>
            <w:bottom w:w="25" w:type="dxa"/>
            <w:end w:w="55" w:type="dxa"/>
          </w:tcMar>
          <w:vAlign w:val="center"/>
        </w:tcPr>
        <w:p>
          <w:pPr>
            <w:spacing w:after="0" w:before="0"/>
            <w:jc w:val="center"/>
          </w:pPr>
          <w:r>
            <w:rPr>
              <w:rFonts w:ascii="Arial" w:hAnsi="Arial" w:eastAsia="Arial" w:cs="Arial"/>
              <w:b/>
              <w:color w:val="FFFFFF"/>
              <w:sz w:val="18"/>
            </w:rPr>
            <w:t>NAP</w:t>
          </w:r>
        </w:p>
      </w:tc>
      <w:tc>
        <w:tcPr>
          <w:tcW w:type="dxa" w:w="9000"/>
          <w:shd w:fill="FFFFFF"/>
          <w:tcMar>
            <w:top w:w="5" w:type="dxa"/>
            <w:start w:w="80" w:type="dxa"/>
            <w:bottom w:w="5" w:type="dxa"/>
            <w:end w:w="40" w:type="dxa"/>
          </w:tcMar>
          <w:vAlign w:val="center"/>
        </w:tcPr>
        <w:p>
          <w:pPr>
            <w:spacing w:after="0" w:before="0"/>
          </w:pPr>
          <w:r>
            <w:rPr>
              <w:rFonts w:ascii="Arial" w:hAnsi="Arial" w:eastAsia="Arial" w:cs="Arial"/>
              <w:b/>
              <w:color w:val="087F85"/>
              <w:sz w:val="15"/>
            </w:rPr>
            <w:t>NATIONAL ATTENDANCE PORTAL</w:t>
          </w:r>
          <w:r>
            <w:rPr>
              <w:rFonts w:ascii="Arial" w:hAnsi="Arial" w:eastAsia="Arial" w:cs="Arial"/>
              <w:b/>
              <w:color w:val="5C3B7D"/>
              <w:sz w:val="14"/>
            </w:rPr>
            <w:t xml:space="preserve">   •   ULTRA PREMIUM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44" w:line="240" w:lineRule="auto"/>
    </w:pPr>
    <w:rPr>
      <w:rFonts w:ascii="Arial" w:hAnsi="Arial" w:eastAsia="Arial" w:cs="Arial"/>
      <w:color w:val="1B243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 w:eastAsia="Arial" w:cs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 w:eastAsia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100" w:after="3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80" w:after="2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 w:eastAsia="Arial" w:cs="Arial"/>
    </w:rPr>
  </w:style>
  <w:style w:type="table" w:default="1" w:styleId="TableNormal">
    <w:name w:val="Normal Table"/>
    <w:uiPriority w:val="99"/>
    <w:semiHidden/>
    <w:unhideWhenUsed/>
    <w:rPr>
      <w:rFonts w:ascii="Arial" w:hAnsi="Arial" w:eastAsia="Arial"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 w:eastAsia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rial" w:hAnsi="Arial" w:eastAsia="Arial" w:cs="Arial"/>
      <w:b/>
      <w:color w:val="5C3B7D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 w:eastAsia="Arial" w:cs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 w:eastAsia="Arial"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 w:eastAsia="Arial" w:cs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 w:eastAsia="Arial" w:cs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 w:eastAsia="Arial" w:cs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 w:eastAsia="Arial" w:cs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 w:eastAsia="Arial" w:cs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 w:eastAsia="Arial" w:cs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 w:eastAsia="Arial" w:cs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 w:eastAsia="Arial" w:cs="Arial"/>
    </w:rPr>
  </w:style>
  <w:style w:type="paragraph" w:styleId="ListBullet">
    <w:name w:val="List Bullet"/>
    <w:basedOn w:val="Normal"/>
    <w:uiPriority w:val="99"/>
    <w:unhideWhenUsed/>
    <w:rsid w:val="00326F90"/>
    <w:pPr>
      <w:widowControl/>
      <w:numPr>
        <w:numId w:val="1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2">
    <w:name w:val="List Bullet 2"/>
    <w:basedOn w:val="Normal"/>
    <w:uiPriority w:val="99"/>
    <w:unhideWhenUsed/>
    <w:rsid w:val="00326F90"/>
    <w:pPr>
      <w:widowControl/>
      <w:numPr>
        <w:numId w:val="2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 w:eastAsia="Arial" w:cs="Arial"/>
    </w:rPr>
  </w:style>
  <w:style w:type="paragraph" w:styleId="ListNumber">
    <w:name w:val="List Number"/>
    <w:basedOn w:val="Normal"/>
    <w:uiPriority w:val="99"/>
    <w:unhideWhenUsed/>
    <w:rsid w:val="00326F90"/>
    <w:pPr>
      <w:widowControl/>
      <w:numPr>
        <w:numId w:val="5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 w:eastAsia="Arial" w:cs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 w:eastAsia="Arial" w:cs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 w:eastAsia="Arial" w:cs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 w:eastAsia="Arial" w:cs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 w:eastAsia="Arial" w:cs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 w:eastAsia="Arial" w:cs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 w:eastAsia="Arial" w:cs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 w:eastAsia="Arial" w:cs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 w:eastAsia="Arial" w:cs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 w:eastAsia="Arial" w:cs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 w:eastAsia="Arial" w:cs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 w:eastAsia="Arial" w:cs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 w:eastAsia="Arial" w:cs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 w:eastAsia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