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Post-16 Attendance, Engagement &amp; Retention Plan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B6470"/>
          <w:sz w:val="22"/>
        </w:rPr>
        <w:t>For school sixth forms, sixth-form colleges and FE providers.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rPr>
          <w:cantSplit/>
        </w:trPr>
        <w:tc>
          <w:tcPr>
            <w:tcW w:type="dxa" w:w="3485"/>
            <w:shd w:fill="F4F3F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4C4FA3"/>
                <w:sz w:val="16"/>
              </w:rPr>
              <w:t>EDITABLE RESOURCE</w:t>
            </w:r>
          </w:p>
        </w:tc>
        <w:tc>
          <w:tcPr>
            <w:tcW w:type="dxa" w:w="3485"/>
            <w:shd w:fill="EDF8F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47D83"/>
                <w:sz w:val="16"/>
              </w:rPr>
              <w:t>PRACTICE + ASSURANCE</w:t>
            </w:r>
          </w:p>
        </w:tc>
        <w:tc>
          <w:tcPr>
            <w:tcW w:type="dxa" w:w="3485"/>
            <w:shd w:fill="FFF8E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A6A00"/>
                <w:sz w:val="16"/>
              </w:rPr>
              <w:t>MEMBER TOOL</w:t>
            </w:r>
          </w:p>
        </w:tc>
      </w:tr>
    </w:tbl>
    <w:p>
      <w:pPr>
        <w:widowControl/>
        <w:spacing w:before="0" w:after="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rPr>
          <w:cantSplit/>
        </w:trPr>
        <w:tc>
          <w:tcPr>
            <w:tcW w:type="dxa" w:w="10454"/>
            <w:shd w:fill="F4F3FF"/>
            <w:tcBorders>
              <w:top w:val="single" w:sz="4" w:color="F4F3FF"/>
              <w:left w:val="single" w:sz="4" w:color="F4F3FF"/>
              <w:bottom w:val="single" w:sz="4" w:color="F4F3FF"/>
              <w:right w:val="single" w:sz="4" w:color="F4F3FF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b/>
                <w:sz w:val="16"/>
              </w:rPr>
              <w:t>This document is deliberately editable. Replace the prompts, add your branding and adapt thresholds to your setting. Remove any sections you do not need.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Provider context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Courses, campuses, learner profile, timetable model and strategic priorities.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Early warning indicators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Attendance/participation deterioration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Missed assessments or English/maths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Tutor concerns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Wellbeing/SEND/safeguarding flags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Bursary/transport/financial barriers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Course mismatch or transfer risk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Tiered response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Universal expectations • early support • targeted case management • specialist response.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Retention and withdrawal safeguards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evidence is required before withdrawal? What re-engagement, transfer or support options have been explored?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Curriculum and timetable review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Where is non-attendance concentrated and what might that say about provision?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Learner voice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does the learner say would make continued participation more likely?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Impact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Measures for attendance, engagement, retention, progress and destination.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