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Model Attendance Policy Builder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An editable policy structure aligned to current school attendance expectations in England.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Policy purpose and scope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Who the policy applies to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How attendance connects to safeguarding, inclusion and belonging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How the policy is reviewed and approved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Roles and responsibilities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Pupils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Parents and carers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Teachers and tutors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Attendance staff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Senior attendance champion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Headteacher/principal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Governors/trustees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Local authority / external partners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Registers and daily routines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Set out registration times, closing times, missing-mark response, first-day contact and late procedures.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Absence and leave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Explain how absence is reported, evidenced, authorised and recorded; adapt to current statutory guidance and local policy.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Support pathway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Early identification • barrier assessment • family support • targeted plan • multi-agency response • review.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Persistent and severe absence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Set out how risk is identified and reviewed, with additional attention to vulnerable pupils.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Legal intervention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Describe when formal intervention may be considered and who is authorised to make decisions.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Data, monitoring and privacy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Explain data review, sharing, retention, governance and privacy arrangements.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Review checklist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Cross-check against current DfE statutory guidance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Check consistency with safeguarding/SEND/medical policies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Confirm all named roles and contact routes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Governor/trust approval date and review date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