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MAT / Trust Attendance Deep Dive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Trust-wide assurance across strategy, variation, capacity, governance and improvement.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Use this pack as a self-review, peer review, leadership deep dive or governance assurance exercise. Score each strand 1–4, triangulate evidence and agree no more than five high-leverage priorities.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How to use the 1–4 scale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1 • Fragile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2 • Developing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3 • Secure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b/>
                <w:color w:val="1B2430"/>
                <w:sz w:val="16"/>
              </w:rPr>
              <w:t>4 • Exemplary</w:t>
            </w:r>
          </w:p>
        </w:tc>
      </w:tr>
      <w:tr>
        <w:trPr>
          <w:cantSplit/>
        </w:trPr>
        <w:tc>
          <w:tcPr>
            <w:tcW w:type="dxa" w:w="2613"/>
            <w:shd w:fill="FDEFF1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inconsistent, reactive or insufficiently evidenced.</w:t>
            </w:r>
          </w:p>
        </w:tc>
        <w:tc>
          <w:tcPr>
            <w:tcW w:type="dxa" w:w="2613"/>
            <w:shd w:fill="FFF8E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Core systems exist but quality or impact varies.</w:t>
            </w:r>
          </w:p>
        </w:tc>
        <w:tc>
          <w:tcPr>
            <w:tcW w:type="dxa" w:w="2613"/>
            <w:shd w:fill="EDF8F6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consistent, evidence-informed and generally effective.</w:t>
            </w:r>
          </w:p>
        </w:tc>
        <w:tc>
          <w:tcPr>
            <w:tcW w:type="dxa" w:w="2613"/>
            <w:shd w:fill="F4F3FF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  <w:r>
              <w:rPr>
                <w:rFonts w:ascii="Arial" w:hAnsi="Arial" w:eastAsia="Arial" w:cs="Arial"/>
                <w:sz w:val="16"/>
              </w:rPr>
              <w:t>Practice is highly effective, sustained and transferable.</w:t>
            </w: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Deep-dive scorecard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1"/>
        <w:gridCol w:w="2091"/>
        <w:gridCol w:w="2091"/>
        <w:gridCol w:w="2091"/>
        <w:gridCol w:w="2091"/>
      </w:tblGrid>
      <w:tr>
        <w:trPr>
          <w:cantSplit/>
        </w:trPr>
        <w:tc>
          <w:tcPr>
            <w:tcW w:type="dxa" w:w="223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Strand</w:t>
            </w:r>
          </w:p>
        </w:tc>
        <w:tc>
          <w:tcPr>
            <w:tcW w:type="dxa" w:w="792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1–4</w:t>
            </w:r>
          </w:p>
        </w:tc>
        <w:tc>
          <w:tcPr>
            <w:tcW w:type="dxa" w:w="3096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Evidence seen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Key finding</w:t>
            </w:r>
          </w:p>
        </w:tc>
        <w:tc>
          <w:tcPr>
            <w:tcW w:type="dxa" w:w="3024"/>
            <w:shd w:fill="4C4FA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 action</w:t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Trust strategy</w:t>
              <w:br/>
              <w:t>Common principles, expectations and local flexibility.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Comparative intelligence</w:t>
              <w:br/>
              <w:t>Cross-school benchmarking, trends and variation.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Governance &amp; assurance</w:t>
              <w:br/>
              <w:t>Board oversight, risk, challenge and evidence.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School improvement capacity</w:t>
              <w:br/>
              <w:t>Support tiers, coaching, intervention and escalation.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Consistency of systems</w:t>
              <w:br/>
              <w:t>Policies, registers, coding, casework and thresholds.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Workforce development</w:t>
              <w:br/>
              <w:t>Role clarity, induction, CPD and specialist capacity.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Inclusion &amp; public health</w:t>
              <w:br/>
              <w:t>Health, SEND, disadvantage and external partnerships.</w:t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shd w:fill="FAFAFD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  <w:tr>
        <w:trPr>
          <w:cantSplit/>
        </w:trPr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  <w:t>Impact &amp; learning</w:t>
              <w:br/>
              <w:t>What works, where, why, and how practice spreads.</w:t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  <w:tc>
          <w:tcPr>
            <w:tcW w:type="dxa" w:w="2091"/>
            <w:vAlign w:val="top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sz w:val="16"/>
              </w:rPr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Leadership challenge questions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Where is performance most variable across the trust and why?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Which schools need challenge, which need capacity, and which have practice to share?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Can the trust evidence common minimum standards without creating compliance theatre?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How are attendance risks linked to safeguarding, SEND, behaviour and school improvement?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What does the board receive beyond headline percentages?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How quickly does learning from one school change practice elsewhere?</w:t>
      </w:r>
    </w:p>
    <w:p>
      <w:pPr>
        <w:pStyle w:val="Heading2"/>
        <w:keepNext/>
        <w:keepLines/>
        <w:widowControl/>
      </w:pPr>
      <w:r>
        <w:rPr>
          <w:rFonts w:ascii="Arial" w:hAnsi="Arial" w:eastAsia="Arial" w:cs="Arial"/>
        </w:rPr>
        <w:t>Evidence to sample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Trust attendance strategy and standards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School-level dashboards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School attendance roadmaps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Trust risk register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Board/committee papers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Deep-dive evidence from sample schools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CPD and role development records</w:t>
      </w:r>
    </w:p>
    <w:p>
      <w:pPr>
        <w:pStyle w:val="ListBullet"/>
        <w:widowControl/>
        <w:spacing w:after="60" w:before="0" w:line="240" w:lineRule="auto"/>
      </w:pPr>
      <w:r>
        <w:rPr>
          <w:rFonts w:ascii="Arial" w:hAnsi="Arial" w:eastAsia="Arial" w:cs="Arial"/>
        </w:rPr>
        <w:t>Cross-trust impact evidence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Interview prompts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Senior leader / principal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Attendance or engagement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Tutor / pastoral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Data or MIS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Safeguarding / SEND / learner support lead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  <w:b/>
          <w:color w:val="4C4FA3"/>
        </w:rPr>
        <w:t>Governor / trustee / corporation member</w:t>
      </w:r>
    </w:p>
    <w:p>
      <w:pPr>
        <w:widowControl/>
        <w:spacing w:before="0" w:after="40" w:line="240" w:lineRule="auto"/>
        <w:ind w:left="288"/>
      </w:pPr>
      <w:r>
        <w:rPr>
          <w:rFonts w:ascii="Arial" w:hAnsi="Arial" w:eastAsia="Arial" w:cs="Arial"/>
        </w:rPr>
        <w:t>What do you know? What do you do? How do you know it is working? What changed because of your actions?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Priority action plan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42"/>
        <w:gridCol w:w="1742"/>
        <w:gridCol w:w="1742"/>
        <w:gridCol w:w="1742"/>
        <w:gridCol w:w="1742"/>
        <w:gridCol w:w="1742"/>
      </w:tblGrid>
      <w:tr>
        <w:trPr>
          <w:cantSplit/>
        </w:trPr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Priority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Action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Owner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By when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Success measure</w:t>
            </w:r>
          </w:p>
        </w:tc>
        <w:tc>
          <w:tcPr>
            <w:tcW w:type="dxa" w:w="1742"/>
            <w:shd w:fill="147D83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FFFFFF"/>
                <w:sz w:val="16"/>
              </w:rPr>
              <w:t>Review</w:t>
            </w: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  <w:tr>
        <w:trPr>
          <w:cantSplit/>
        </w:trPr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  <w:tc>
          <w:tcPr>
            <w:tcW w:type="dxa" w:w="1742"/>
            <w:tcBorders>
              <w:top w:val="single" w:sz="4" w:color="D9DCE5"/>
              <w:left w:val="single" w:sz="4" w:color="D9DCE5"/>
              <w:bottom w:val="single" w:sz="4" w:color="D9DCE5"/>
              <w:right w:val="single" w:sz="4" w:color="D9DCE5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</w:pPr>
          </w:p>
        </w:tc>
      </w:tr>
    </w:tbl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Final judgement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Overall maturity (1–4): ______    Biggest strength: ______________________________    Most urgent risk: 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Next review date: __________________    Review lead: 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